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A2E7" w14:textId="7B88C24B" w:rsidR="00195206" w:rsidRPr="00F930F4" w:rsidRDefault="003532EA" w:rsidP="00FA42CF">
      <w:pPr>
        <w:jc w:val="center"/>
        <w:rPr>
          <w:rFonts w:ascii="Calibri" w:hAnsi="Calibri"/>
          <w:u w:val="single"/>
          <w:vertAlign w:val="superscript"/>
        </w:rPr>
      </w:pPr>
      <w:r w:rsidRPr="00F930F4">
        <w:rPr>
          <w:rFonts w:ascii="Calibri" w:hAnsi="Calibri"/>
          <w:u w:val="single"/>
        </w:rPr>
        <w:t xml:space="preserve">IATI </w:t>
      </w:r>
      <w:r w:rsidR="006757E4" w:rsidRPr="00F930F4">
        <w:rPr>
          <w:rFonts w:ascii="Calibri" w:hAnsi="Calibri"/>
          <w:u w:val="single"/>
        </w:rPr>
        <w:t>Budget Sub-Group Qua</w:t>
      </w:r>
      <w:r w:rsidR="00832C46" w:rsidRPr="00F930F4">
        <w:rPr>
          <w:rFonts w:ascii="Calibri" w:hAnsi="Calibri"/>
          <w:u w:val="single"/>
        </w:rPr>
        <w:t>r</w:t>
      </w:r>
      <w:r w:rsidR="006429E8" w:rsidRPr="00F930F4">
        <w:rPr>
          <w:rFonts w:ascii="Calibri" w:hAnsi="Calibri"/>
          <w:u w:val="single"/>
        </w:rPr>
        <w:t>terly Call 20 August 2015</w:t>
      </w:r>
    </w:p>
    <w:p w14:paraId="6B68F3CE" w14:textId="77777777" w:rsidR="00832C46" w:rsidRPr="00F930F4" w:rsidRDefault="00832C46" w:rsidP="00746561">
      <w:pPr>
        <w:jc w:val="both"/>
        <w:rPr>
          <w:rFonts w:ascii="Calibri" w:hAnsi="Calibri"/>
          <w:vertAlign w:val="superscript"/>
        </w:rPr>
      </w:pPr>
    </w:p>
    <w:p w14:paraId="091DEBEA" w14:textId="57861AF4" w:rsidR="003532EA" w:rsidRPr="00F930F4" w:rsidRDefault="003532EA" w:rsidP="006429E8">
      <w:pPr>
        <w:contextualSpacing/>
        <w:rPr>
          <w:rFonts w:ascii="Calibri" w:hAnsi="Calibri"/>
        </w:rPr>
      </w:pPr>
      <w:r w:rsidRPr="00F930F4">
        <w:rPr>
          <w:rFonts w:ascii="Calibri" w:hAnsi="Calibri"/>
          <w:u w:val="single"/>
        </w:rPr>
        <w:t>Attending</w:t>
      </w:r>
      <w:r w:rsidRPr="00F930F4">
        <w:rPr>
          <w:rFonts w:ascii="Calibri" w:hAnsi="Calibri"/>
        </w:rPr>
        <w:t xml:space="preserve">: Martin Akerman (Chair), Frank Madsen, World Bank; Craig Fagan, Transparency International; </w:t>
      </w:r>
      <w:proofErr w:type="spellStart"/>
      <w:r w:rsidRPr="00F930F4">
        <w:rPr>
          <w:rFonts w:ascii="Calibri" w:hAnsi="Calibri"/>
        </w:rPr>
        <w:t>Zefania</w:t>
      </w:r>
      <w:proofErr w:type="spellEnd"/>
      <w:r w:rsidRPr="00F930F4">
        <w:rPr>
          <w:rFonts w:ascii="Calibri" w:hAnsi="Calibri"/>
        </w:rPr>
        <w:t xml:space="preserve"> </w:t>
      </w:r>
      <w:proofErr w:type="spellStart"/>
      <w:r w:rsidRPr="00F930F4">
        <w:rPr>
          <w:rFonts w:ascii="Calibri" w:hAnsi="Calibri"/>
        </w:rPr>
        <w:t>Romalahy</w:t>
      </w:r>
      <w:proofErr w:type="spellEnd"/>
      <w:r w:rsidRPr="00F930F4">
        <w:rPr>
          <w:rFonts w:ascii="Calibri" w:hAnsi="Calibri"/>
        </w:rPr>
        <w:t xml:space="preserve">, </w:t>
      </w:r>
      <w:bookmarkStart w:id="0" w:name="_GoBack"/>
      <w:bookmarkEnd w:id="0"/>
      <w:r w:rsidRPr="00F930F4">
        <w:rPr>
          <w:rFonts w:ascii="Calibri" w:hAnsi="Calibri"/>
        </w:rPr>
        <w:t xml:space="preserve">Madagascar; </w:t>
      </w:r>
      <w:proofErr w:type="spellStart"/>
      <w:r w:rsidRPr="00F930F4">
        <w:rPr>
          <w:rFonts w:ascii="Calibri" w:hAnsi="Calibri"/>
        </w:rPr>
        <w:t>Yohanna</w:t>
      </w:r>
      <w:proofErr w:type="spellEnd"/>
      <w:r w:rsidRPr="00F930F4">
        <w:rPr>
          <w:rFonts w:ascii="Calibri" w:hAnsi="Calibri"/>
        </w:rPr>
        <w:t xml:space="preserve"> </w:t>
      </w:r>
      <w:proofErr w:type="spellStart"/>
      <w:r w:rsidRPr="00F930F4">
        <w:rPr>
          <w:rFonts w:ascii="Calibri" w:hAnsi="Calibri"/>
        </w:rPr>
        <w:t>Loucheur</w:t>
      </w:r>
      <w:proofErr w:type="spellEnd"/>
      <w:r w:rsidRPr="00F930F4">
        <w:rPr>
          <w:rFonts w:ascii="Calibri" w:hAnsi="Calibri"/>
        </w:rPr>
        <w:t xml:space="preserve">, Canada; (Secretariat – Annelise Parr, Olivier Bennaim, UNDP; </w:t>
      </w:r>
      <w:proofErr w:type="spellStart"/>
      <w:r w:rsidRPr="00F930F4">
        <w:rPr>
          <w:rFonts w:ascii="Calibri" w:hAnsi="Calibri"/>
        </w:rPr>
        <w:t>Argjira</w:t>
      </w:r>
      <w:proofErr w:type="spellEnd"/>
      <w:r w:rsidRPr="00F930F4">
        <w:rPr>
          <w:rFonts w:ascii="Calibri" w:hAnsi="Calibri"/>
        </w:rPr>
        <w:t xml:space="preserve"> </w:t>
      </w:r>
      <w:proofErr w:type="spellStart"/>
      <w:r w:rsidRPr="00F930F4">
        <w:rPr>
          <w:rFonts w:ascii="Calibri" w:hAnsi="Calibri"/>
        </w:rPr>
        <w:t>Belegu-Shuku</w:t>
      </w:r>
      <w:proofErr w:type="spellEnd"/>
      <w:r w:rsidRPr="00F930F4">
        <w:rPr>
          <w:rFonts w:ascii="Calibri" w:hAnsi="Calibri"/>
        </w:rPr>
        <w:t>, UNOPS; Joni Hillman, DI)</w:t>
      </w:r>
    </w:p>
    <w:p w14:paraId="04DE4A6D" w14:textId="77777777" w:rsidR="006429E8" w:rsidRPr="00F930F4" w:rsidRDefault="006429E8" w:rsidP="006429E8">
      <w:pPr>
        <w:contextualSpacing/>
        <w:rPr>
          <w:rFonts w:ascii="Calibri" w:hAnsi="Calibri"/>
          <w:vertAlign w:val="superscript"/>
        </w:rPr>
      </w:pPr>
    </w:p>
    <w:p w14:paraId="4892AE62" w14:textId="4A42215B" w:rsidR="006429E8" w:rsidRPr="00F930F4" w:rsidRDefault="006429E8" w:rsidP="006429E8">
      <w:pPr>
        <w:contextualSpacing/>
        <w:rPr>
          <w:rFonts w:ascii="Calibri" w:hAnsi="Calibri"/>
        </w:rPr>
      </w:pPr>
      <w:r w:rsidRPr="00F930F4">
        <w:rPr>
          <w:rFonts w:ascii="Calibri" w:hAnsi="Calibri"/>
        </w:rPr>
        <w:t>Sub-group members received a brief update on the status of implementation then focused discussions around the draft fundraising package prepared by the Secretariat. Feedback was also provided on the updated TORs for this sub-group, as well as on the draft TORs for the Members Advisory Group in the context of overlaps with the work of this group.</w:t>
      </w:r>
    </w:p>
    <w:p w14:paraId="5ED9FD34" w14:textId="77777777" w:rsidR="006429E8" w:rsidRPr="00F930F4" w:rsidRDefault="006429E8" w:rsidP="003532EA">
      <w:pPr>
        <w:rPr>
          <w:rFonts w:ascii="Calibri" w:hAnsi="Calibri"/>
          <w:vertAlign w:val="superscript"/>
        </w:rPr>
      </w:pPr>
    </w:p>
    <w:p w14:paraId="345E1DA6" w14:textId="77777777" w:rsidR="006757E4" w:rsidRPr="00F930F4" w:rsidRDefault="00832C46" w:rsidP="006429E8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  <w:vertAlign w:val="superscript"/>
        </w:rPr>
      </w:pPr>
      <w:r w:rsidRPr="00F930F4">
        <w:rPr>
          <w:rFonts w:ascii="Calibri" w:hAnsi="Calibri"/>
          <w:b/>
          <w:u w:val="single"/>
        </w:rPr>
        <w:t>IATI Fundraising and Finance Presentation</w:t>
      </w:r>
    </w:p>
    <w:p w14:paraId="19A42DDE" w14:textId="77777777" w:rsidR="00832C46" w:rsidRPr="00F930F4" w:rsidRDefault="00832C46" w:rsidP="006429E8">
      <w:pPr>
        <w:jc w:val="both"/>
        <w:rPr>
          <w:rFonts w:ascii="Calibri" w:hAnsi="Calibri"/>
          <w:vertAlign w:val="superscript"/>
        </w:rPr>
      </w:pPr>
    </w:p>
    <w:p w14:paraId="15AD79BD" w14:textId="2CE37C8B" w:rsidR="00A35B72" w:rsidRPr="00F930F4" w:rsidRDefault="0098211B" w:rsidP="006429E8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  <w:b/>
        </w:rPr>
        <w:t>The last page of section one</w:t>
      </w:r>
      <w:r w:rsidRPr="00F930F4">
        <w:rPr>
          <w:rFonts w:ascii="Calibri" w:hAnsi="Calibri"/>
        </w:rPr>
        <w:t xml:space="preserve"> should be reorganized</w:t>
      </w:r>
      <w:r w:rsidR="008E0F23" w:rsidRPr="00F930F4">
        <w:rPr>
          <w:rFonts w:ascii="Calibri" w:hAnsi="Calibri"/>
        </w:rPr>
        <w:t xml:space="preserve"> and made easier to read</w:t>
      </w:r>
      <w:r w:rsidRPr="00F930F4">
        <w:rPr>
          <w:rFonts w:ascii="Calibri" w:hAnsi="Calibri"/>
        </w:rPr>
        <w:t xml:space="preserve"> so the importance of voluntary contributions to the core budget stand</w:t>
      </w:r>
      <w:r w:rsidR="00215B0A" w:rsidRPr="00F930F4">
        <w:rPr>
          <w:rFonts w:ascii="Calibri" w:hAnsi="Calibri"/>
        </w:rPr>
        <w:t>s</w:t>
      </w:r>
      <w:r w:rsidR="00D13860" w:rsidRPr="00F930F4">
        <w:rPr>
          <w:rFonts w:ascii="Calibri" w:hAnsi="Calibri"/>
        </w:rPr>
        <w:t xml:space="preserve"> out, clarifying that core needs to be funded first.</w:t>
      </w:r>
    </w:p>
    <w:p w14:paraId="3B24161C" w14:textId="77777777" w:rsidR="00832C46" w:rsidRPr="00F930F4" w:rsidRDefault="00832C46" w:rsidP="006429E8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b/>
        </w:rPr>
      </w:pPr>
      <w:r w:rsidRPr="00F930F4">
        <w:rPr>
          <w:rFonts w:ascii="Calibri" w:hAnsi="Calibri"/>
          <w:b/>
        </w:rPr>
        <w:t>“Improving data quality and quantity” slide</w:t>
      </w:r>
    </w:p>
    <w:p w14:paraId="727110D4" w14:textId="7BE442CF" w:rsidR="00832C46" w:rsidRPr="00F930F4" w:rsidRDefault="00A35B72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Need</w:t>
      </w:r>
      <w:r w:rsidR="00215B0A" w:rsidRPr="00F930F4">
        <w:rPr>
          <w:rFonts w:ascii="Calibri" w:hAnsi="Calibri"/>
        </w:rPr>
        <w:t>s</w:t>
      </w:r>
      <w:r w:rsidR="006410A2" w:rsidRPr="00F930F4">
        <w:rPr>
          <w:rFonts w:ascii="Calibri" w:hAnsi="Calibri"/>
        </w:rPr>
        <w:t xml:space="preserve"> a stronger</w:t>
      </w:r>
      <w:r w:rsidRPr="00F930F4">
        <w:rPr>
          <w:rFonts w:ascii="Calibri" w:hAnsi="Calibri"/>
        </w:rPr>
        <w:t xml:space="preserve"> focus on the tools to enhance the quality of the data rather than on upgrades to the Standard (which is done by different people)</w:t>
      </w:r>
    </w:p>
    <w:p w14:paraId="769F7AFD" w14:textId="77777777" w:rsidR="00A35B72" w:rsidRPr="00F930F4" w:rsidRDefault="00A35B72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Scope of activities: “not enough people are using the data…” no longer the case and great progress has been done on that</w:t>
      </w:r>
    </w:p>
    <w:p w14:paraId="30E6FC96" w14:textId="2F8D0E86" w:rsidR="00215B0A" w:rsidRPr="00F930F4" w:rsidRDefault="00A35B72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 xml:space="preserve">Overall, there should be a </w:t>
      </w:r>
      <w:r w:rsidR="00215B0A" w:rsidRPr="00F930F4">
        <w:rPr>
          <w:rFonts w:ascii="Calibri" w:hAnsi="Calibri"/>
        </w:rPr>
        <w:t>stronger</w:t>
      </w:r>
      <w:r w:rsidRPr="00F930F4">
        <w:rPr>
          <w:rFonts w:ascii="Calibri" w:hAnsi="Calibri"/>
        </w:rPr>
        <w:t xml:space="preserve"> focus on data publishers</w:t>
      </w:r>
    </w:p>
    <w:p w14:paraId="2E2DA79B" w14:textId="2883A73F" w:rsidR="00D13860" w:rsidRPr="00F930F4" w:rsidRDefault="00D13860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Consider using the blank space to list activities.</w:t>
      </w:r>
    </w:p>
    <w:p w14:paraId="72D1280E" w14:textId="77777777" w:rsidR="00A35B72" w:rsidRPr="00F930F4" w:rsidRDefault="00A35B72" w:rsidP="006429E8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b/>
        </w:rPr>
      </w:pPr>
      <w:r w:rsidRPr="00F930F4">
        <w:rPr>
          <w:rFonts w:ascii="Calibri" w:hAnsi="Calibri"/>
          <w:b/>
        </w:rPr>
        <w:t>“Increasing Partner Country engagement” slide</w:t>
      </w:r>
    </w:p>
    <w:p w14:paraId="5CFA887C" w14:textId="5DB3EFBB" w:rsidR="00A35B72" w:rsidRPr="00F930F4" w:rsidRDefault="00A35B72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Highlight that using the data remains difficult at the country level</w:t>
      </w:r>
      <w:r w:rsidR="00D13860" w:rsidRPr="00F930F4">
        <w:rPr>
          <w:rFonts w:ascii="Calibri" w:hAnsi="Calibri"/>
        </w:rPr>
        <w:t>; while there are no tools yet for them to use this data, is it too soon to talk about this?</w:t>
      </w:r>
    </w:p>
    <w:p w14:paraId="2874C13D" w14:textId="5B00BC96" w:rsidR="00215B0A" w:rsidRPr="00F930F4" w:rsidRDefault="00854570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Should not</w:t>
      </w:r>
      <w:r w:rsidR="00A35B72" w:rsidRPr="00F930F4">
        <w:rPr>
          <w:rFonts w:ascii="Calibri" w:hAnsi="Calibri"/>
        </w:rPr>
        <w:t xml:space="preserve"> forget donors as users of data: key drivers to data quality</w:t>
      </w:r>
      <w:r w:rsidR="00D13860" w:rsidRPr="00F930F4">
        <w:rPr>
          <w:rFonts w:ascii="Calibri" w:hAnsi="Calibri"/>
        </w:rPr>
        <w:t xml:space="preserve"> and engagement.</w:t>
      </w:r>
    </w:p>
    <w:p w14:paraId="12DBE82B" w14:textId="77777777" w:rsidR="00A35B72" w:rsidRPr="00F930F4" w:rsidRDefault="00A35B72" w:rsidP="006429E8">
      <w:pPr>
        <w:pStyle w:val="ListParagraph"/>
        <w:numPr>
          <w:ilvl w:val="0"/>
          <w:numId w:val="4"/>
        </w:numPr>
        <w:ind w:left="360"/>
        <w:jc w:val="both"/>
        <w:rPr>
          <w:rFonts w:ascii="Calibri" w:hAnsi="Calibri"/>
          <w:b/>
        </w:rPr>
      </w:pPr>
      <w:r w:rsidRPr="00F930F4">
        <w:rPr>
          <w:rFonts w:ascii="Calibri" w:hAnsi="Calibri"/>
          <w:b/>
        </w:rPr>
        <w:t>“Strengthening IATI’s brand” slide</w:t>
      </w:r>
    </w:p>
    <w:p w14:paraId="0C204AFA" w14:textId="31DDBAC6" w:rsidR="00DB38BE" w:rsidRPr="00F930F4" w:rsidRDefault="00215B0A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  <w:b/>
        </w:rPr>
      </w:pPr>
      <w:r w:rsidRPr="00F930F4">
        <w:rPr>
          <w:rFonts w:ascii="Calibri" w:hAnsi="Calibri"/>
        </w:rPr>
        <w:t>Underline</w:t>
      </w:r>
      <w:r w:rsidR="00A35B72" w:rsidRPr="00F930F4">
        <w:rPr>
          <w:rFonts w:ascii="Calibri" w:hAnsi="Calibri"/>
        </w:rPr>
        <w:t xml:space="preserve"> the need for content translated into more languages</w:t>
      </w:r>
    </w:p>
    <w:p w14:paraId="7BC228AA" w14:textId="629F0209" w:rsidR="003532EA" w:rsidRPr="00F930F4" w:rsidRDefault="003532EA" w:rsidP="006429E8">
      <w:pPr>
        <w:pStyle w:val="ListParagraph"/>
        <w:numPr>
          <w:ilvl w:val="1"/>
          <w:numId w:val="4"/>
        </w:numPr>
        <w:ind w:left="1080"/>
        <w:jc w:val="both"/>
        <w:rPr>
          <w:rFonts w:ascii="Calibri" w:hAnsi="Calibri"/>
          <w:b/>
        </w:rPr>
      </w:pPr>
      <w:r w:rsidRPr="00F930F4">
        <w:rPr>
          <w:rFonts w:ascii="Calibri" w:hAnsi="Calibri"/>
        </w:rPr>
        <w:t>Consider moving d-portal to this slide.</w:t>
      </w:r>
    </w:p>
    <w:p w14:paraId="4DE91C7B" w14:textId="77777777" w:rsidR="00DB38BE" w:rsidRPr="00F930F4" w:rsidRDefault="00DB38BE" w:rsidP="006429E8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  <w:b/>
        </w:rPr>
      </w:pPr>
      <w:r w:rsidRPr="00F930F4">
        <w:rPr>
          <w:rFonts w:ascii="Calibri" w:hAnsi="Calibri"/>
          <w:b/>
        </w:rPr>
        <w:t xml:space="preserve">General </w:t>
      </w:r>
      <w:r w:rsidR="00746561" w:rsidRPr="00F930F4">
        <w:rPr>
          <w:rFonts w:ascii="Calibri" w:hAnsi="Calibri"/>
          <w:b/>
        </w:rPr>
        <w:t>suggestions</w:t>
      </w:r>
      <w:r w:rsidRPr="00F930F4">
        <w:rPr>
          <w:rFonts w:ascii="Calibri" w:hAnsi="Calibri"/>
          <w:b/>
        </w:rPr>
        <w:t xml:space="preserve"> that could be added</w:t>
      </w:r>
    </w:p>
    <w:p w14:paraId="2B4535EC" w14:textId="41270BB8" w:rsidR="0098211B" w:rsidRPr="00F930F4" w:rsidRDefault="0098211B" w:rsidP="006429E8">
      <w:pPr>
        <w:pStyle w:val="ListParagraph"/>
        <w:numPr>
          <w:ilvl w:val="1"/>
          <w:numId w:val="5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Slides should be numbered</w:t>
      </w:r>
    </w:p>
    <w:p w14:paraId="02F6755A" w14:textId="23AA15B5" w:rsidR="00DB38BE" w:rsidRPr="00F930F4" w:rsidRDefault="00854570" w:rsidP="006429E8">
      <w:pPr>
        <w:pStyle w:val="ListParagraph"/>
        <w:numPr>
          <w:ilvl w:val="1"/>
          <w:numId w:val="5"/>
        </w:numPr>
        <w:ind w:left="1080"/>
        <w:jc w:val="both"/>
        <w:rPr>
          <w:rFonts w:ascii="Calibri" w:hAnsi="Calibri"/>
          <w:b/>
        </w:rPr>
      </w:pPr>
      <w:r w:rsidRPr="00F930F4">
        <w:rPr>
          <w:rFonts w:ascii="Calibri" w:hAnsi="Calibri"/>
        </w:rPr>
        <w:t>A</w:t>
      </w:r>
      <w:r w:rsidR="00DB38BE" w:rsidRPr="00F930F4">
        <w:rPr>
          <w:rFonts w:ascii="Calibri" w:hAnsi="Calibri"/>
        </w:rPr>
        <w:t>dditional focus of the potential of in-kind contributions</w:t>
      </w:r>
      <w:r w:rsidR="00746561" w:rsidRPr="00F930F4">
        <w:rPr>
          <w:rFonts w:ascii="Calibri" w:hAnsi="Calibri"/>
        </w:rPr>
        <w:t xml:space="preserve"> </w:t>
      </w:r>
    </w:p>
    <w:p w14:paraId="66BFBB73" w14:textId="4A0507A9" w:rsidR="00746561" w:rsidRPr="00F930F4" w:rsidRDefault="00746561" w:rsidP="006429E8">
      <w:pPr>
        <w:pStyle w:val="ListParagraph"/>
        <w:numPr>
          <w:ilvl w:val="1"/>
          <w:numId w:val="5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Try to adopt a more direct language</w:t>
      </w:r>
      <w:r w:rsidR="00215B0A" w:rsidRPr="00F930F4">
        <w:rPr>
          <w:rFonts w:ascii="Calibri" w:hAnsi="Calibri"/>
        </w:rPr>
        <w:t xml:space="preserve"> throughout the presentation</w:t>
      </w:r>
      <w:r w:rsidR="00D13860" w:rsidRPr="00F930F4">
        <w:rPr>
          <w:rFonts w:ascii="Calibri" w:hAnsi="Calibri"/>
        </w:rPr>
        <w:t>, and view it from the angle of somebody looking for the first time.</w:t>
      </w:r>
    </w:p>
    <w:p w14:paraId="64871373" w14:textId="215D70EA" w:rsidR="00746561" w:rsidRPr="00F930F4" w:rsidRDefault="00746561" w:rsidP="006429E8">
      <w:pPr>
        <w:pStyle w:val="ListParagraph"/>
        <w:numPr>
          <w:ilvl w:val="1"/>
          <w:numId w:val="5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 xml:space="preserve">More elaborated information behind each of the </w:t>
      </w:r>
      <w:r w:rsidR="00854570" w:rsidRPr="00F930F4">
        <w:rPr>
          <w:rFonts w:ascii="Calibri" w:hAnsi="Calibri"/>
        </w:rPr>
        <w:t>optional activities</w:t>
      </w:r>
      <w:r w:rsidRPr="00F930F4">
        <w:rPr>
          <w:rFonts w:ascii="Calibri" w:hAnsi="Calibri"/>
        </w:rPr>
        <w:t xml:space="preserve"> especially through a more specific breakdown on activity amounts (itemized</w:t>
      </w:r>
      <w:r w:rsidR="00D102CD" w:rsidRPr="00F930F4">
        <w:rPr>
          <w:rFonts w:ascii="Calibri" w:hAnsi="Calibri"/>
        </w:rPr>
        <w:t xml:space="preserve"> budget) either in a</w:t>
      </w:r>
      <w:r w:rsidRPr="00F930F4">
        <w:rPr>
          <w:rFonts w:ascii="Calibri" w:hAnsi="Calibri"/>
        </w:rPr>
        <w:t xml:space="preserve"> </w:t>
      </w:r>
      <w:r w:rsidR="00D102CD" w:rsidRPr="00F930F4">
        <w:rPr>
          <w:rFonts w:ascii="Calibri" w:hAnsi="Calibri"/>
        </w:rPr>
        <w:t>page of annex</w:t>
      </w:r>
      <w:r w:rsidRPr="00F930F4">
        <w:rPr>
          <w:rFonts w:ascii="Calibri" w:hAnsi="Calibri"/>
        </w:rPr>
        <w:t xml:space="preserve"> or under the “activity amount” section in each slide.</w:t>
      </w:r>
    </w:p>
    <w:p w14:paraId="55D77C4A" w14:textId="4EBEB327" w:rsidR="00215B0A" w:rsidRPr="00F930F4" w:rsidRDefault="00215B0A" w:rsidP="006429E8">
      <w:pPr>
        <w:pStyle w:val="ListParagraph"/>
        <w:numPr>
          <w:ilvl w:val="1"/>
          <w:numId w:val="5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(Debate over engaging with non-governments (corporate partners) to sponsor conferences (in exhibition halls rather than a genuine sponsorship))</w:t>
      </w:r>
    </w:p>
    <w:p w14:paraId="46C80BC8" w14:textId="603129E6" w:rsidR="00215B0A" w:rsidRPr="00F930F4" w:rsidRDefault="00215B0A" w:rsidP="006429E8">
      <w:pPr>
        <w:pStyle w:val="ListParagraph"/>
        <w:numPr>
          <w:ilvl w:val="1"/>
          <w:numId w:val="5"/>
        </w:numPr>
        <w:ind w:left="1080"/>
        <w:jc w:val="both"/>
        <w:rPr>
          <w:rFonts w:ascii="Calibri" w:hAnsi="Calibri"/>
        </w:rPr>
      </w:pPr>
      <w:r w:rsidRPr="00F930F4">
        <w:rPr>
          <w:rFonts w:ascii="Calibri" w:hAnsi="Calibri"/>
        </w:rPr>
        <w:t>(Finding a better marketable use of IATI data (data as a moneymaker))</w:t>
      </w:r>
    </w:p>
    <w:p w14:paraId="3B1BFE70" w14:textId="77777777" w:rsidR="00215B0A" w:rsidRPr="00F930F4" w:rsidRDefault="00215B0A" w:rsidP="006429E8">
      <w:pPr>
        <w:jc w:val="both"/>
        <w:rPr>
          <w:rFonts w:ascii="Calibri" w:hAnsi="Calibri"/>
        </w:rPr>
      </w:pPr>
    </w:p>
    <w:p w14:paraId="0BABCAD6" w14:textId="77777777" w:rsidR="00D102CD" w:rsidRPr="00F930F4" w:rsidRDefault="00D102CD" w:rsidP="006429E8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  <w:b/>
          <w:u w:val="single"/>
        </w:rPr>
      </w:pPr>
      <w:r w:rsidRPr="00F930F4">
        <w:rPr>
          <w:rFonts w:ascii="Calibri" w:hAnsi="Calibri"/>
          <w:b/>
          <w:u w:val="single"/>
        </w:rPr>
        <w:t>Terms of Reference for the Standing Sub-Group for Budget and Finance</w:t>
      </w:r>
    </w:p>
    <w:p w14:paraId="589138C0" w14:textId="77777777" w:rsidR="00746561" w:rsidRPr="00F930F4" w:rsidRDefault="00746561" w:rsidP="006429E8">
      <w:pPr>
        <w:jc w:val="both"/>
        <w:rPr>
          <w:rFonts w:ascii="Calibri" w:hAnsi="Calibri"/>
        </w:rPr>
      </w:pPr>
    </w:p>
    <w:p w14:paraId="30E57A42" w14:textId="77777777" w:rsidR="00D102CD" w:rsidRPr="00F930F4" w:rsidRDefault="00D102CD" w:rsidP="006429E8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>4.1.1: delete “Monitor and</w:t>
      </w:r>
      <w:proofErr w:type="gramStart"/>
      <w:r w:rsidRPr="00F930F4">
        <w:rPr>
          <w:rFonts w:ascii="Calibri" w:hAnsi="Calibri"/>
        </w:rPr>
        <w:t>..”</w:t>
      </w:r>
      <w:proofErr w:type="gramEnd"/>
    </w:p>
    <w:p w14:paraId="6E900F24" w14:textId="2DFF9F5C" w:rsidR="00D102CD" w:rsidRPr="00F930F4" w:rsidRDefault="00215B0A" w:rsidP="006429E8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>Make clear</w:t>
      </w:r>
      <w:r w:rsidR="00D102CD" w:rsidRPr="00F930F4">
        <w:rPr>
          <w:rFonts w:ascii="Calibri" w:hAnsi="Calibri"/>
        </w:rPr>
        <w:t xml:space="preserve"> </w:t>
      </w:r>
      <w:r w:rsidRPr="00F930F4">
        <w:rPr>
          <w:rFonts w:ascii="Calibri" w:hAnsi="Calibri"/>
        </w:rPr>
        <w:t>the role of the Standing Sub-group</w:t>
      </w:r>
      <w:r w:rsidR="00D102CD" w:rsidRPr="00F930F4">
        <w:rPr>
          <w:rFonts w:ascii="Calibri" w:hAnsi="Calibri"/>
        </w:rPr>
        <w:t xml:space="preserve"> </w:t>
      </w:r>
      <w:r w:rsidRPr="00F930F4">
        <w:rPr>
          <w:rFonts w:ascii="Calibri" w:hAnsi="Calibri"/>
        </w:rPr>
        <w:t>is</w:t>
      </w:r>
      <w:r w:rsidR="00D102CD" w:rsidRPr="00F930F4">
        <w:rPr>
          <w:rFonts w:ascii="Calibri" w:hAnsi="Calibri"/>
        </w:rPr>
        <w:t xml:space="preserve"> to review rather than to prepare</w:t>
      </w:r>
    </w:p>
    <w:p w14:paraId="27A1B7C3" w14:textId="77777777" w:rsidR="00D102CD" w:rsidRPr="00F930F4" w:rsidRDefault="005008DE" w:rsidP="006429E8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>4.1.3: replace “prepare written recommendation” by “make recommendation”</w:t>
      </w:r>
    </w:p>
    <w:p w14:paraId="02138C09" w14:textId="77777777" w:rsidR="00F2539A" w:rsidRPr="00F930F4" w:rsidRDefault="00F2539A" w:rsidP="006429E8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lastRenderedPageBreak/>
        <w:t xml:space="preserve">4.1.4: replace “when required” by something </w:t>
      </w:r>
      <w:r w:rsidR="00297224" w:rsidRPr="00F930F4">
        <w:rPr>
          <w:rFonts w:ascii="Calibri" w:hAnsi="Calibri"/>
        </w:rPr>
        <w:t xml:space="preserve">more accurate, </w:t>
      </w:r>
      <w:r w:rsidRPr="00F930F4">
        <w:rPr>
          <w:rFonts w:ascii="Calibri" w:hAnsi="Calibri"/>
        </w:rPr>
        <w:t>along the lines of  “when asked”</w:t>
      </w:r>
    </w:p>
    <w:p w14:paraId="42EFE0BA" w14:textId="53E5E4F4" w:rsidR="005008DE" w:rsidRPr="00F930F4" w:rsidRDefault="00F2539A" w:rsidP="006429E8">
      <w:pPr>
        <w:pStyle w:val="ListParagraph"/>
        <w:numPr>
          <w:ilvl w:val="0"/>
          <w:numId w:val="5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 xml:space="preserve">4.3: needs to spell out the underlying “rules” of the meetings: what </w:t>
      </w:r>
      <w:r w:rsidR="00854570" w:rsidRPr="00F930F4">
        <w:rPr>
          <w:rFonts w:ascii="Calibri" w:hAnsi="Calibri"/>
        </w:rPr>
        <w:t>the roles are</w:t>
      </w:r>
      <w:r w:rsidRPr="00F930F4">
        <w:rPr>
          <w:rFonts w:ascii="Calibri" w:hAnsi="Calibri"/>
        </w:rPr>
        <w:t xml:space="preserve">, who takes the </w:t>
      </w:r>
      <w:proofErr w:type="gramStart"/>
      <w:r w:rsidRPr="00F930F4">
        <w:rPr>
          <w:rFonts w:ascii="Calibri" w:hAnsi="Calibri"/>
        </w:rPr>
        <w:t>minutes, who submit</w:t>
      </w:r>
      <w:r w:rsidR="00116796" w:rsidRPr="00F930F4">
        <w:rPr>
          <w:rFonts w:ascii="Calibri" w:hAnsi="Calibri"/>
        </w:rPr>
        <w:t>s</w:t>
      </w:r>
      <w:proofErr w:type="gramEnd"/>
      <w:r w:rsidRPr="00F930F4">
        <w:rPr>
          <w:rFonts w:ascii="Calibri" w:hAnsi="Calibri"/>
        </w:rPr>
        <w:t xml:space="preserve"> them, how they are approved etc.</w:t>
      </w:r>
    </w:p>
    <w:p w14:paraId="134E3A37" w14:textId="77777777" w:rsidR="00215B0A" w:rsidRPr="00F930F4" w:rsidRDefault="00215B0A" w:rsidP="006429E8">
      <w:pPr>
        <w:jc w:val="both"/>
        <w:rPr>
          <w:rFonts w:ascii="Calibri" w:hAnsi="Calibri"/>
        </w:rPr>
      </w:pPr>
    </w:p>
    <w:p w14:paraId="3A3AD561" w14:textId="13196574" w:rsidR="00FA42CF" w:rsidRPr="00F930F4" w:rsidRDefault="00FA42CF" w:rsidP="006429E8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  <w:b/>
          <w:u w:val="single"/>
        </w:rPr>
      </w:pPr>
      <w:r w:rsidRPr="00F930F4">
        <w:rPr>
          <w:rFonts w:ascii="Calibri" w:hAnsi="Calibri"/>
          <w:b/>
          <w:u w:val="single"/>
        </w:rPr>
        <w:t>Terms of Reference for the Interim IATI Members Advisory Group</w:t>
      </w:r>
    </w:p>
    <w:p w14:paraId="68AEC070" w14:textId="77777777" w:rsidR="00FA42CF" w:rsidRPr="00F930F4" w:rsidRDefault="00FA42CF" w:rsidP="006429E8">
      <w:pPr>
        <w:jc w:val="both"/>
        <w:rPr>
          <w:rFonts w:ascii="Calibri" w:hAnsi="Calibri"/>
          <w:b/>
          <w:u w:val="single"/>
        </w:rPr>
      </w:pPr>
    </w:p>
    <w:p w14:paraId="5E652F2C" w14:textId="70E55FC8" w:rsidR="00FA42CF" w:rsidRPr="00F930F4" w:rsidRDefault="009A5544" w:rsidP="006429E8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 xml:space="preserve">Remove the first two bullet points in the description of the role and responsibilities of the Interim Members Advisory Group. </w:t>
      </w:r>
      <w:r w:rsidR="00116796" w:rsidRPr="00F930F4">
        <w:rPr>
          <w:rFonts w:ascii="Calibri" w:hAnsi="Calibri"/>
        </w:rPr>
        <w:t xml:space="preserve">It </w:t>
      </w:r>
      <w:r w:rsidRPr="00F930F4">
        <w:rPr>
          <w:rFonts w:ascii="Calibri" w:hAnsi="Calibri"/>
        </w:rPr>
        <w:t>should indeed focus more on governance, funding and hosting arrangements</w:t>
      </w:r>
    </w:p>
    <w:p w14:paraId="6A379705" w14:textId="30AE018E" w:rsidR="009A5544" w:rsidRPr="00F930F4" w:rsidRDefault="009A5544" w:rsidP="006429E8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 xml:space="preserve">Add a point that would </w:t>
      </w:r>
      <w:r w:rsidR="003077D7" w:rsidRPr="00F930F4">
        <w:rPr>
          <w:rFonts w:ascii="Calibri" w:hAnsi="Calibri"/>
        </w:rPr>
        <w:t>describe</w:t>
      </w:r>
      <w:r w:rsidRPr="00F930F4">
        <w:rPr>
          <w:rFonts w:ascii="Calibri" w:hAnsi="Calibri"/>
        </w:rPr>
        <w:t xml:space="preserve"> the deliverables</w:t>
      </w:r>
    </w:p>
    <w:p w14:paraId="0D625F44" w14:textId="070FC361" w:rsidR="006C212A" w:rsidRPr="00F930F4" w:rsidRDefault="006C212A" w:rsidP="006429E8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 xml:space="preserve">Clarify that </w:t>
      </w:r>
      <w:r w:rsidR="00854570" w:rsidRPr="00F930F4">
        <w:rPr>
          <w:rFonts w:ascii="Calibri" w:hAnsi="Calibri"/>
        </w:rPr>
        <w:t xml:space="preserve">the MAG is supposed to be </w:t>
      </w:r>
      <w:proofErr w:type="gramStart"/>
      <w:r w:rsidRPr="00F930F4">
        <w:rPr>
          <w:rFonts w:ascii="Calibri" w:hAnsi="Calibri"/>
        </w:rPr>
        <w:t>an agile</w:t>
      </w:r>
      <w:proofErr w:type="gramEnd"/>
      <w:r w:rsidRPr="00F930F4">
        <w:rPr>
          <w:rFonts w:ascii="Calibri" w:hAnsi="Calibri"/>
        </w:rPr>
        <w:t xml:space="preserve"> group </w:t>
      </w:r>
      <w:r w:rsidR="00854570" w:rsidRPr="00F930F4">
        <w:rPr>
          <w:rFonts w:ascii="Calibri" w:hAnsi="Calibri"/>
        </w:rPr>
        <w:t xml:space="preserve">acting </w:t>
      </w:r>
      <w:r w:rsidRPr="00F930F4">
        <w:rPr>
          <w:rFonts w:ascii="Calibri" w:hAnsi="Calibri"/>
        </w:rPr>
        <w:t xml:space="preserve">in between SC meetings that would be involved in decision-making and oversight. </w:t>
      </w:r>
    </w:p>
    <w:p w14:paraId="28466D84" w14:textId="4F399094" w:rsidR="006C212A" w:rsidRPr="00F930F4" w:rsidRDefault="006C212A" w:rsidP="006429E8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</w:rPr>
      </w:pPr>
      <w:r w:rsidRPr="00F930F4">
        <w:rPr>
          <w:rFonts w:ascii="Calibri" w:hAnsi="Calibri"/>
        </w:rPr>
        <w:t>Add information on governance: how members of the group are chosen, better define the nomination process (</w:t>
      </w:r>
      <w:proofErr w:type="spellStart"/>
      <w:r w:rsidR="00D13860" w:rsidRPr="00F930F4">
        <w:rPr>
          <w:rFonts w:ascii="Calibri" w:hAnsi="Calibri"/>
        </w:rPr>
        <w:t>eg</w:t>
      </w:r>
      <w:proofErr w:type="spellEnd"/>
      <w:r w:rsidR="00D13860" w:rsidRPr="00F930F4">
        <w:rPr>
          <w:rFonts w:ascii="Calibri" w:hAnsi="Calibri"/>
        </w:rPr>
        <w:t xml:space="preserve"> </w:t>
      </w:r>
      <w:r w:rsidRPr="00F930F4">
        <w:rPr>
          <w:rFonts w:ascii="Calibri" w:hAnsi="Calibri"/>
        </w:rPr>
        <w:t>3 constituenc</w:t>
      </w:r>
      <w:r w:rsidR="00D13860" w:rsidRPr="00F930F4">
        <w:rPr>
          <w:rFonts w:ascii="Calibri" w:hAnsi="Calibri"/>
        </w:rPr>
        <w:t>ies</w:t>
      </w:r>
      <w:r w:rsidRPr="00F930F4">
        <w:rPr>
          <w:rFonts w:ascii="Calibri" w:hAnsi="Calibri"/>
        </w:rPr>
        <w:t xml:space="preserve"> and not 5 as mentioned in the document)</w:t>
      </w:r>
    </w:p>
    <w:sectPr w:rsidR="006C212A" w:rsidRPr="00F930F4" w:rsidSect="00854570">
      <w:pgSz w:w="11900" w:h="16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E8"/>
    <w:multiLevelType w:val="hybridMultilevel"/>
    <w:tmpl w:val="6BF4EDB8"/>
    <w:lvl w:ilvl="0" w:tplc="FDF08DC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DC8"/>
    <w:multiLevelType w:val="hybridMultilevel"/>
    <w:tmpl w:val="3CFAC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0C02"/>
    <w:multiLevelType w:val="hybridMultilevel"/>
    <w:tmpl w:val="92A41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5DC9"/>
    <w:multiLevelType w:val="hybridMultilevel"/>
    <w:tmpl w:val="0DD62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5F31"/>
    <w:multiLevelType w:val="hybridMultilevel"/>
    <w:tmpl w:val="45228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C45C9"/>
    <w:multiLevelType w:val="hybridMultilevel"/>
    <w:tmpl w:val="0A6876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4"/>
    <w:rsid w:val="00116796"/>
    <w:rsid w:val="00195206"/>
    <w:rsid w:val="00215B0A"/>
    <w:rsid w:val="00297224"/>
    <w:rsid w:val="003077D7"/>
    <w:rsid w:val="003532EA"/>
    <w:rsid w:val="005008DE"/>
    <w:rsid w:val="006410A2"/>
    <w:rsid w:val="006429E8"/>
    <w:rsid w:val="006757E4"/>
    <w:rsid w:val="006C212A"/>
    <w:rsid w:val="007005A7"/>
    <w:rsid w:val="00746561"/>
    <w:rsid w:val="00832C46"/>
    <w:rsid w:val="00854570"/>
    <w:rsid w:val="008E0F23"/>
    <w:rsid w:val="0098211B"/>
    <w:rsid w:val="009A5544"/>
    <w:rsid w:val="00A35B72"/>
    <w:rsid w:val="00D102CD"/>
    <w:rsid w:val="00D13860"/>
    <w:rsid w:val="00DB38BE"/>
    <w:rsid w:val="00F2539A"/>
    <w:rsid w:val="00F930F4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A2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Bennaim</dc:creator>
  <cp:lastModifiedBy>AP</cp:lastModifiedBy>
  <cp:revision>2</cp:revision>
  <cp:lastPrinted>2015-08-25T13:08:00Z</cp:lastPrinted>
  <dcterms:created xsi:type="dcterms:W3CDTF">2015-10-06T16:06:00Z</dcterms:created>
  <dcterms:modified xsi:type="dcterms:W3CDTF">2015-10-06T16:06:00Z</dcterms:modified>
</cp:coreProperties>
</file>